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D5D70" w14:textId="3B4CBF2E" w:rsidR="00F5600C" w:rsidRPr="00F5600C" w:rsidRDefault="00F5600C" w:rsidP="00F5600C">
      <w:pPr>
        <w:jc w:val="right"/>
      </w:pPr>
      <w:r w:rsidRPr="00F5600C">
        <w:rPr>
          <w:noProof/>
        </w:rPr>
        <w:drawing>
          <wp:inline distT="0" distB="0" distL="0" distR="0" wp14:anchorId="4273C6C5" wp14:editId="72F9F46B">
            <wp:extent cx="2095500" cy="609600"/>
            <wp:effectExtent l="0" t="0" r="0" b="0"/>
            <wp:docPr id="1976676807" name="Picture 2" descr="A black letter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76807" name="Picture 2" descr="A black letter with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609600"/>
                    </a:xfrm>
                    <a:prstGeom prst="rect">
                      <a:avLst/>
                    </a:prstGeom>
                    <a:noFill/>
                    <a:ln>
                      <a:noFill/>
                    </a:ln>
                  </pic:spPr>
                </pic:pic>
              </a:graphicData>
            </a:graphic>
          </wp:inline>
        </w:drawing>
      </w:r>
      <w:r w:rsidRPr="00F5600C">
        <w:t> </w:t>
      </w:r>
    </w:p>
    <w:p w14:paraId="261684C7" w14:textId="77777777" w:rsidR="00F5600C" w:rsidRPr="00F5600C" w:rsidRDefault="00F5600C" w:rsidP="00F5600C">
      <w:r w:rsidRPr="00F5600C">
        <w:t> </w:t>
      </w:r>
    </w:p>
    <w:p w14:paraId="48F0A022" w14:textId="77777777" w:rsidR="00F5600C" w:rsidRPr="00F5600C" w:rsidRDefault="00F5600C" w:rsidP="00F5600C">
      <w:r w:rsidRPr="00F5600C">
        <w:t> </w:t>
      </w:r>
    </w:p>
    <w:p w14:paraId="523C0A06" w14:textId="77777777" w:rsidR="00F5600C" w:rsidRPr="00F5600C" w:rsidRDefault="00F5600C" w:rsidP="00F5600C">
      <w:pPr>
        <w:rPr>
          <w:rFonts w:ascii="Titillium Web" w:hAnsi="Titillium Web"/>
          <w:b/>
          <w:bCs/>
          <w:sz w:val="40"/>
          <w:szCs w:val="40"/>
        </w:rPr>
      </w:pPr>
      <w:r w:rsidRPr="00F5600C">
        <w:rPr>
          <w:rFonts w:ascii="Titillium Web" w:hAnsi="Titillium Web"/>
          <w:b/>
          <w:bCs/>
          <w:sz w:val="40"/>
          <w:szCs w:val="40"/>
        </w:rPr>
        <w:t>AUDE </w:t>
      </w:r>
    </w:p>
    <w:p w14:paraId="64596191" w14:textId="785FB627" w:rsidR="00F5600C" w:rsidRDefault="00F5600C" w:rsidP="00F5600C">
      <w:pPr>
        <w:rPr>
          <w:rFonts w:ascii="Titillium Web" w:hAnsi="Titillium Web"/>
          <w:b/>
          <w:bCs/>
          <w:sz w:val="40"/>
          <w:szCs w:val="40"/>
        </w:rPr>
      </w:pPr>
      <w:r w:rsidRPr="00F5600C">
        <w:rPr>
          <w:rFonts w:ascii="Titillium Web" w:hAnsi="Titillium Web"/>
          <w:b/>
          <w:bCs/>
          <w:sz w:val="40"/>
          <w:szCs w:val="40"/>
        </w:rPr>
        <w:t xml:space="preserve">Who we are. </w:t>
      </w:r>
    </w:p>
    <w:p w14:paraId="5400EC43" w14:textId="77777777" w:rsidR="00F5600C" w:rsidRPr="00F5600C" w:rsidRDefault="00F5600C" w:rsidP="00F5600C">
      <w:pPr>
        <w:rPr>
          <w:rFonts w:ascii="Titillium Web" w:hAnsi="Titillium Web"/>
        </w:rPr>
      </w:pPr>
      <w:r w:rsidRPr="00F5600C">
        <w:rPr>
          <w:rFonts w:ascii="Titillium Web" w:hAnsi="Titillium Web"/>
        </w:rPr>
        <w:t> </w:t>
      </w:r>
    </w:p>
    <w:p w14:paraId="4274B875" w14:textId="77777777" w:rsidR="00F5600C" w:rsidRPr="00F5600C" w:rsidRDefault="00F5600C" w:rsidP="00F5600C">
      <w:pPr>
        <w:rPr>
          <w:rFonts w:ascii="Titillium Web" w:hAnsi="Titillium Web"/>
        </w:rPr>
      </w:pPr>
      <w:r w:rsidRPr="00F5600C">
        <w:rPr>
          <w:rFonts w:ascii="Titillium Web" w:hAnsi="Titillium Web"/>
        </w:rPr>
        <w:t xml:space="preserve">At the Association of University Directors of Estates (AUDE), we focus on </w:t>
      </w:r>
      <w:r w:rsidRPr="00F5600C">
        <w:rPr>
          <w:rFonts w:ascii="Titillium Web" w:hAnsi="Titillium Web"/>
          <w:b/>
          <w:bCs/>
        </w:rPr>
        <w:t>learning together</w:t>
      </w:r>
      <w:r w:rsidRPr="00F5600C">
        <w:rPr>
          <w:rFonts w:ascii="Titillium Web" w:hAnsi="Titillium Web"/>
        </w:rPr>
        <w:t xml:space="preserve"> about how to make estates and facilities in Higher Education better. We provide our membership services </w:t>
      </w:r>
      <w:r w:rsidRPr="00F5600C">
        <w:rPr>
          <w:rFonts w:ascii="Titillium Web" w:hAnsi="Titillium Web"/>
          <w:b/>
          <w:bCs/>
        </w:rPr>
        <w:t xml:space="preserve">efficiently </w:t>
      </w:r>
      <w:r w:rsidRPr="00F5600C">
        <w:rPr>
          <w:rFonts w:ascii="Titillium Web" w:hAnsi="Titillium Web"/>
        </w:rPr>
        <w:t xml:space="preserve">to give a </w:t>
      </w:r>
      <w:r w:rsidRPr="00F5600C">
        <w:rPr>
          <w:rFonts w:ascii="Titillium Web" w:hAnsi="Titillium Web"/>
          <w:b/>
          <w:bCs/>
        </w:rPr>
        <w:t>credible</w:t>
      </w:r>
      <w:r w:rsidRPr="00F5600C">
        <w:rPr>
          <w:rFonts w:ascii="Titillium Web" w:hAnsi="Titillium Web"/>
        </w:rPr>
        <w:t xml:space="preserve"> sector voice on every aspect of the estates remit in HE. We work </w:t>
      </w:r>
      <w:r w:rsidRPr="00F5600C">
        <w:rPr>
          <w:rFonts w:ascii="Titillium Web" w:hAnsi="Titillium Web"/>
          <w:b/>
          <w:bCs/>
        </w:rPr>
        <w:t>inclusively</w:t>
      </w:r>
      <w:r w:rsidRPr="00F5600C">
        <w:rPr>
          <w:rFonts w:ascii="Titillium Web" w:hAnsi="Titillium Web"/>
        </w:rPr>
        <w:t xml:space="preserve"> and </w:t>
      </w:r>
      <w:r w:rsidRPr="00F5600C">
        <w:rPr>
          <w:rFonts w:ascii="Titillium Web" w:hAnsi="Titillium Web"/>
          <w:b/>
          <w:bCs/>
        </w:rPr>
        <w:t>collaboratively</w:t>
      </w:r>
      <w:r w:rsidRPr="00F5600C">
        <w:rPr>
          <w:rFonts w:ascii="Titillium Web" w:hAnsi="Titillium Web"/>
        </w:rPr>
        <w:t xml:space="preserve"> to make sure that a wide range of relevant opinions can use AUDE and its platforms in the service of excellence in HE estates, </w:t>
      </w:r>
    </w:p>
    <w:p w14:paraId="17184B92" w14:textId="202F2245" w:rsidR="00F5600C" w:rsidRPr="00F5600C" w:rsidRDefault="00F5600C" w:rsidP="00F5600C">
      <w:pPr>
        <w:rPr>
          <w:rFonts w:ascii="Titillium Web" w:hAnsi="Titillium Web"/>
        </w:rPr>
      </w:pPr>
      <w:r w:rsidRPr="00F5600C">
        <w:rPr>
          <w:rFonts w:ascii="Titillium Web" w:hAnsi="Titillium Web"/>
        </w:rPr>
        <w:t xml:space="preserve">We are committed to fostering a professional community that is </w:t>
      </w:r>
      <w:r w:rsidRPr="00F5600C">
        <w:rPr>
          <w:rFonts w:ascii="Titillium Web" w:hAnsi="Titillium Web"/>
          <w:b/>
          <w:bCs/>
        </w:rPr>
        <w:t>collaborative</w:t>
      </w:r>
      <w:r w:rsidRPr="00F5600C">
        <w:rPr>
          <w:rFonts w:ascii="Titillium Web" w:hAnsi="Titillium Web"/>
        </w:rPr>
        <w:t xml:space="preserve">, </w:t>
      </w:r>
      <w:r w:rsidRPr="00F5600C">
        <w:rPr>
          <w:rFonts w:ascii="Titillium Web" w:hAnsi="Titillium Web"/>
          <w:b/>
          <w:bCs/>
        </w:rPr>
        <w:t>inclusive</w:t>
      </w:r>
      <w:r w:rsidRPr="00F5600C">
        <w:rPr>
          <w:rFonts w:ascii="Titillium Web" w:hAnsi="Titillium Web"/>
        </w:rPr>
        <w:t xml:space="preserve">, and </w:t>
      </w:r>
      <w:r w:rsidRPr="00F5600C">
        <w:rPr>
          <w:rFonts w:ascii="Titillium Web" w:hAnsi="Titillium Web"/>
          <w:b/>
          <w:bCs/>
        </w:rPr>
        <w:t>forward-thinking</w:t>
      </w:r>
      <w:r w:rsidRPr="00F5600C">
        <w:rPr>
          <w:rFonts w:ascii="Titillium Web" w:hAnsi="Titillium Web"/>
        </w:rPr>
        <w:t>. Our values reflect our dedication to advancing excellence in higher education estates management while upholding the principles of equality, diversity, and inclusion as fundamental to everything we do. </w:t>
      </w:r>
    </w:p>
    <w:p w14:paraId="1E4E29CF" w14:textId="62F4AEE6" w:rsidR="00F5600C" w:rsidRPr="00F5600C" w:rsidRDefault="00F5600C" w:rsidP="00343213">
      <w:pPr>
        <w:jc w:val="center"/>
        <w:rPr>
          <w:rFonts w:ascii="Titillium Web" w:hAnsi="Titillium Web"/>
        </w:rPr>
      </w:pPr>
      <w:r w:rsidRPr="00F5600C">
        <w:rPr>
          <w:rFonts w:ascii="Titillium Web" w:hAnsi="Titillium Web"/>
          <w:b/>
          <w:bCs/>
        </w:rPr>
        <w:t>*</w:t>
      </w:r>
    </w:p>
    <w:p w14:paraId="37A6B547" w14:textId="77777777" w:rsidR="00F5600C" w:rsidRPr="00F5600C" w:rsidRDefault="00F5600C" w:rsidP="00F5600C">
      <w:pPr>
        <w:rPr>
          <w:rFonts w:ascii="Titillium Web" w:hAnsi="Titillium Web"/>
        </w:rPr>
      </w:pPr>
      <w:r w:rsidRPr="00F5600C">
        <w:rPr>
          <w:rFonts w:ascii="Titillium Web" w:hAnsi="Titillium Web"/>
        </w:rPr>
        <w:t>In the service of these ideas, we are committed to creating a community where everyone feels valued, respected, and empowered to contribute fully, regardless of background, identity, or perspective. This means we have standards about the way we interact with each other in all our dealings with each other as part of this association.  </w:t>
      </w:r>
    </w:p>
    <w:p w14:paraId="11853EC9" w14:textId="77777777" w:rsidR="00F5600C" w:rsidRPr="00F5600C" w:rsidRDefault="00F5600C" w:rsidP="00F5600C">
      <w:pPr>
        <w:rPr>
          <w:rFonts w:ascii="Titillium Web" w:hAnsi="Titillium Web"/>
        </w:rPr>
      </w:pPr>
      <w:r w:rsidRPr="00F5600C">
        <w:rPr>
          <w:rFonts w:ascii="Titillium Web" w:hAnsi="Titillium Web"/>
          <w:b/>
          <w:bCs/>
        </w:rPr>
        <w:t>Behaviours we expect of our members and stakeholders who align to us</w:t>
      </w:r>
      <w:r w:rsidRPr="00F5600C">
        <w:rPr>
          <w:rFonts w:ascii="Titillium Web" w:hAnsi="Titillium Web"/>
        </w:rPr>
        <w:t> </w:t>
      </w:r>
      <w:r w:rsidRPr="00F5600C">
        <w:rPr>
          <w:rFonts w:ascii="Titillium Web" w:hAnsi="Titillium Web"/>
        </w:rPr>
        <w:br/>
        <w:t>To embody these values and uphold our commitment to EDI, we expect our members to: </w:t>
      </w:r>
    </w:p>
    <w:p w14:paraId="3FC65E44" w14:textId="77777777" w:rsidR="00F5600C" w:rsidRPr="00F5600C" w:rsidRDefault="00F5600C" w:rsidP="00F5600C">
      <w:pPr>
        <w:numPr>
          <w:ilvl w:val="0"/>
          <w:numId w:val="1"/>
        </w:numPr>
        <w:rPr>
          <w:rFonts w:ascii="Titillium Web" w:hAnsi="Titillium Web"/>
        </w:rPr>
      </w:pPr>
      <w:r w:rsidRPr="00F5600C">
        <w:rPr>
          <w:rFonts w:ascii="Titillium Web" w:hAnsi="Titillium Web"/>
          <w:b/>
          <w:bCs/>
        </w:rPr>
        <w:t>Model respectful behaviour:</w:t>
      </w:r>
      <w:r w:rsidRPr="00F5600C">
        <w:rPr>
          <w:rFonts w:ascii="Titillium Web" w:hAnsi="Titillium Web"/>
        </w:rPr>
        <w:t xml:space="preserve"> Engage with colleagues, peers, and stakeholders with civility, empathy, and a genuine commitment to understanding differing perspectives. </w:t>
      </w:r>
    </w:p>
    <w:p w14:paraId="381B27DA" w14:textId="77777777" w:rsidR="00F5600C" w:rsidRPr="00F5600C" w:rsidRDefault="00F5600C" w:rsidP="00F5600C">
      <w:pPr>
        <w:numPr>
          <w:ilvl w:val="0"/>
          <w:numId w:val="2"/>
        </w:numPr>
        <w:rPr>
          <w:rFonts w:ascii="Titillium Web" w:hAnsi="Titillium Web"/>
        </w:rPr>
      </w:pPr>
      <w:r w:rsidRPr="00F5600C">
        <w:rPr>
          <w:rFonts w:ascii="Titillium Web" w:hAnsi="Titillium Web"/>
          <w:b/>
          <w:bCs/>
        </w:rPr>
        <w:lastRenderedPageBreak/>
        <w:t>Champion inclusivity:</w:t>
      </w:r>
      <w:r w:rsidRPr="00F5600C">
        <w:rPr>
          <w:rFonts w:ascii="Titillium Web" w:hAnsi="Titillium Web"/>
        </w:rPr>
        <w:t xml:space="preserve"> Proactively create environments—both within AUDE and in their institutions—where diverse voices are welcomed, heard, and respected. </w:t>
      </w:r>
    </w:p>
    <w:p w14:paraId="04D4A52C" w14:textId="77777777" w:rsidR="00F5600C" w:rsidRPr="00F5600C" w:rsidRDefault="00F5600C" w:rsidP="00F5600C">
      <w:pPr>
        <w:numPr>
          <w:ilvl w:val="0"/>
          <w:numId w:val="3"/>
        </w:numPr>
        <w:rPr>
          <w:rFonts w:ascii="Titillium Web" w:hAnsi="Titillium Web"/>
        </w:rPr>
      </w:pPr>
      <w:r w:rsidRPr="00F5600C">
        <w:rPr>
          <w:rFonts w:ascii="Titillium Web" w:hAnsi="Titillium Web"/>
          <w:b/>
          <w:bCs/>
        </w:rPr>
        <w:t>Challenge inequity:</w:t>
      </w:r>
      <w:r w:rsidRPr="00F5600C">
        <w:rPr>
          <w:rFonts w:ascii="Titillium Web" w:hAnsi="Titillium Web"/>
        </w:rPr>
        <w:t xml:space="preserve"> Identify and address barriers to equality and inclusion, striving to create opportunities for underrepresented groups within the estates and facilities management profession. </w:t>
      </w:r>
    </w:p>
    <w:p w14:paraId="349E6ECC" w14:textId="79D5BB70" w:rsidR="00F5600C" w:rsidRPr="00F5600C" w:rsidRDefault="00F5600C" w:rsidP="00F5600C">
      <w:pPr>
        <w:numPr>
          <w:ilvl w:val="0"/>
          <w:numId w:val="4"/>
        </w:numPr>
        <w:rPr>
          <w:rFonts w:ascii="Titillium Web" w:hAnsi="Titillium Web"/>
        </w:rPr>
      </w:pPr>
      <w:r w:rsidRPr="00F5600C">
        <w:rPr>
          <w:rFonts w:ascii="Titillium Web" w:hAnsi="Titillium Web"/>
          <w:b/>
          <w:bCs/>
        </w:rPr>
        <w:t>Commit to continuous learning:</w:t>
      </w:r>
      <w:r w:rsidRPr="00F5600C">
        <w:rPr>
          <w:rFonts w:ascii="Titillium Web" w:hAnsi="Titillium Web"/>
        </w:rPr>
        <w:t xml:space="preserve"> Actively seek opportunities to expand their knowledge and understanding of EDI principles, applying these learnings to their work and interactions. </w:t>
      </w:r>
    </w:p>
    <w:p w14:paraId="78697D1F" w14:textId="77777777" w:rsidR="00343213" w:rsidRDefault="00F5600C" w:rsidP="00F5600C">
      <w:pPr>
        <w:rPr>
          <w:rFonts w:ascii="Titillium Web" w:hAnsi="Titillium Web"/>
        </w:rPr>
      </w:pPr>
      <w:r w:rsidRPr="00F5600C">
        <w:rPr>
          <w:rFonts w:ascii="Titillium Web" w:hAnsi="Titillium Web"/>
          <w:b/>
          <w:bCs/>
          <w:i/>
          <w:iCs/>
        </w:rPr>
        <w:t>And most importantly we will hold each other accountable</w:t>
      </w:r>
      <w:r w:rsidRPr="00F5600C">
        <w:rPr>
          <w:rFonts w:ascii="Titillium Web" w:hAnsi="Titillium Web"/>
          <w:b/>
          <w:bCs/>
        </w:rPr>
        <w:t xml:space="preserve">. </w:t>
      </w:r>
      <w:r w:rsidRPr="00F5600C">
        <w:rPr>
          <w:rFonts w:ascii="Titillium Web" w:hAnsi="Titillium Web"/>
        </w:rPr>
        <w:t>We expect a culture of mutual accountability, where all members feel empowered to address and improve practices that do not align with our shared values. </w:t>
      </w:r>
    </w:p>
    <w:p w14:paraId="74BBA3E6" w14:textId="55F5BEFC" w:rsidR="00F5600C" w:rsidRDefault="00F5600C" w:rsidP="00F5600C">
      <w:pPr>
        <w:rPr>
          <w:rFonts w:ascii="Titillium Web" w:hAnsi="Titillium Web"/>
        </w:rPr>
      </w:pPr>
      <w:r w:rsidRPr="00F5600C">
        <w:rPr>
          <w:rFonts w:ascii="Titillium Web" w:hAnsi="Titillium Web"/>
        </w:rPr>
        <w:br/>
        <w:t>As an organisation, AUDE will lead by example, embedding EDI into our policies, practices, and governance. We will continue to provide resources, training, and guidance to support our members in promoting and implementing these values within their institutions. </w:t>
      </w:r>
    </w:p>
    <w:p w14:paraId="538E35A5" w14:textId="77777777" w:rsidR="00D338AC" w:rsidRDefault="00D338AC" w:rsidP="00F5600C">
      <w:pPr>
        <w:rPr>
          <w:rFonts w:ascii="Titillium Web" w:hAnsi="Titillium Web"/>
        </w:rPr>
      </w:pPr>
    </w:p>
    <w:p w14:paraId="5354734B" w14:textId="5FE4473F" w:rsidR="00F5600C" w:rsidRPr="00F5600C" w:rsidRDefault="00F5600C" w:rsidP="00F5600C">
      <w:pPr>
        <w:rPr>
          <w:rFonts w:ascii="Titillium Web" w:hAnsi="Titillium Web"/>
        </w:rPr>
      </w:pPr>
      <w:r w:rsidRPr="00F5600C">
        <w:rPr>
          <w:rFonts w:ascii="Titillium Web" w:hAnsi="Titillium Web"/>
        </w:rPr>
        <w:t>Together, we will build a community that reflects and celebrates the diversity of the higher education sector, driving meaningful change in the estates management profession. </w:t>
      </w:r>
    </w:p>
    <w:p w14:paraId="7B3A9FA2" w14:textId="0B28596B" w:rsidR="00F5600C" w:rsidRPr="00F5600C" w:rsidRDefault="00F5600C" w:rsidP="00343213">
      <w:pPr>
        <w:jc w:val="center"/>
        <w:rPr>
          <w:rFonts w:ascii="Titillium Web" w:hAnsi="Titillium Web"/>
        </w:rPr>
      </w:pPr>
      <w:r w:rsidRPr="00F5600C">
        <w:rPr>
          <w:rFonts w:ascii="Titillium Web" w:hAnsi="Titillium Web"/>
        </w:rPr>
        <w:t>*</w:t>
      </w:r>
    </w:p>
    <w:p w14:paraId="2C3CD05A" w14:textId="77777777" w:rsidR="00343213" w:rsidRDefault="00343213" w:rsidP="00F5600C">
      <w:pPr>
        <w:rPr>
          <w:rFonts w:ascii="Titillium Web" w:hAnsi="Titillium Web"/>
        </w:rPr>
      </w:pPr>
    </w:p>
    <w:p w14:paraId="130B10A7" w14:textId="25FB140C" w:rsidR="00F5600C" w:rsidRPr="00F5600C" w:rsidRDefault="00F5600C" w:rsidP="00F5600C">
      <w:pPr>
        <w:rPr>
          <w:rFonts w:ascii="Titillium Web" w:hAnsi="Titillium Web"/>
          <w:b/>
          <w:bCs/>
        </w:rPr>
      </w:pPr>
      <w:r w:rsidRPr="00F5600C">
        <w:rPr>
          <w:rFonts w:ascii="Titillium Web" w:hAnsi="Titillium Web"/>
          <w:b/>
          <w:bCs/>
        </w:rPr>
        <w:t>Syd Cottle </w:t>
      </w:r>
    </w:p>
    <w:p w14:paraId="1E950E1E" w14:textId="715D17EE" w:rsidR="00F5600C" w:rsidRPr="00F5600C" w:rsidRDefault="00F5600C" w:rsidP="00F5600C">
      <w:pPr>
        <w:rPr>
          <w:rFonts w:ascii="Titillium Web" w:hAnsi="Titillium Web"/>
        </w:rPr>
      </w:pPr>
      <w:r w:rsidRPr="00F5600C">
        <w:rPr>
          <w:rFonts w:ascii="Titillium Web" w:hAnsi="Titillium Web"/>
        </w:rPr>
        <w:t>AUDE Chair </w:t>
      </w:r>
    </w:p>
    <w:p w14:paraId="574B599B" w14:textId="77777777" w:rsidR="00F5600C" w:rsidRPr="00F5600C" w:rsidRDefault="00F5600C" w:rsidP="00F5600C">
      <w:pPr>
        <w:rPr>
          <w:rFonts w:ascii="Titillium Web" w:hAnsi="Titillium Web"/>
          <w:b/>
          <w:bCs/>
        </w:rPr>
      </w:pPr>
      <w:r w:rsidRPr="00F5600C">
        <w:rPr>
          <w:rFonts w:ascii="Titillium Web" w:hAnsi="Titillium Web"/>
          <w:b/>
          <w:bCs/>
        </w:rPr>
        <w:t>Ian Grimes </w:t>
      </w:r>
    </w:p>
    <w:p w14:paraId="67426319" w14:textId="736530D2" w:rsidR="00F5600C" w:rsidRPr="00F5600C" w:rsidRDefault="00F5600C" w:rsidP="00F5600C">
      <w:pPr>
        <w:rPr>
          <w:rFonts w:ascii="Titillium Web" w:hAnsi="Titillium Web"/>
        </w:rPr>
      </w:pPr>
      <w:r w:rsidRPr="00F5600C">
        <w:rPr>
          <w:rFonts w:ascii="Titillium Web" w:hAnsi="Titillium Web"/>
        </w:rPr>
        <w:t>AUDE Chair-Elect (in position from April 2026 for the period to April 2028) </w:t>
      </w:r>
    </w:p>
    <w:p w14:paraId="78E0B41C" w14:textId="77777777" w:rsidR="00F5600C" w:rsidRPr="00F5600C" w:rsidRDefault="00F5600C" w:rsidP="00F5600C">
      <w:pPr>
        <w:rPr>
          <w:rFonts w:ascii="Titillium Web" w:hAnsi="Titillium Web"/>
          <w:b/>
          <w:bCs/>
        </w:rPr>
      </w:pPr>
      <w:r w:rsidRPr="00F5600C">
        <w:rPr>
          <w:rFonts w:ascii="Titillium Web" w:hAnsi="Titillium Web"/>
          <w:b/>
          <w:bCs/>
        </w:rPr>
        <w:t>Jane Harrison-White </w:t>
      </w:r>
    </w:p>
    <w:p w14:paraId="5F6A8F67" w14:textId="77777777" w:rsidR="00F5600C" w:rsidRPr="00F5600C" w:rsidRDefault="00F5600C" w:rsidP="00F5600C">
      <w:pPr>
        <w:rPr>
          <w:rFonts w:ascii="Titillium Web" w:hAnsi="Titillium Web"/>
        </w:rPr>
      </w:pPr>
      <w:r w:rsidRPr="00F5600C">
        <w:rPr>
          <w:rFonts w:ascii="Titillium Web" w:hAnsi="Titillium Web"/>
        </w:rPr>
        <w:t>AUDE Executive Director </w:t>
      </w:r>
    </w:p>
    <w:p w14:paraId="1A804C6D" w14:textId="4C02C249" w:rsidR="006C717E" w:rsidRPr="004C3880" w:rsidRDefault="001944B4">
      <w:pPr>
        <w:rPr>
          <w:rFonts w:ascii="Titillium Web" w:hAnsi="Titillium Web"/>
          <w:b/>
          <w:bCs/>
        </w:rPr>
      </w:pPr>
      <w:r w:rsidRPr="004C3880">
        <w:rPr>
          <w:rFonts w:ascii="Titillium Web" w:hAnsi="Titillium Web"/>
          <w:b/>
          <w:bCs/>
        </w:rPr>
        <w:lastRenderedPageBreak/>
        <w:t>The AUDE Executive Committee (October 2025)</w:t>
      </w:r>
    </w:p>
    <w:p w14:paraId="6A41465F" w14:textId="77777777" w:rsidR="00F41941" w:rsidRDefault="00F41941">
      <w:pPr>
        <w:rPr>
          <w:rFonts w:ascii="Titillium Web" w:hAnsi="Titillium Web"/>
        </w:rPr>
      </w:pPr>
      <w:r>
        <w:rPr>
          <w:rFonts w:ascii="Titillium Web" w:hAnsi="Titillium Web"/>
        </w:rPr>
        <w:t>Phil Baker</w:t>
      </w:r>
    </w:p>
    <w:p w14:paraId="72CEAF9B" w14:textId="2A4D1592" w:rsidR="00CF2D4D" w:rsidRDefault="00CF2D4D">
      <w:pPr>
        <w:rPr>
          <w:rFonts w:ascii="Titillium Web" w:hAnsi="Titillium Web"/>
        </w:rPr>
      </w:pPr>
      <w:r>
        <w:rPr>
          <w:rFonts w:ascii="Titillium Web" w:hAnsi="Titillium Web"/>
        </w:rPr>
        <w:t>Lucy Black</w:t>
      </w:r>
    </w:p>
    <w:p w14:paraId="3EE6FFE1" w14:textId="24D286F4" w:rsidR="00290C7D" w:rsidRPr="001639CF" w:rsidRDefault="00290C7D">
      <w:pPr>
        <w:rPr>
          <w:rFonts w:ascii="Titillium Web" w:hAnsi="Titillium Web"/>
        </w:rPr>
      </w:pPr>
      <w:r w:rsidRPr="001639CF">
        <w:rPr>
          <w:rFonts w:ascii="Titillium Web" w:hAnsi="Titillium Web"/>
        </w:rPr>
        <w:t>Paul Davis</w:t>
      </w:r>
    </w:p>
    <w:p w14:paraId="6E78C21A" w14:textId="4C49F674" w:rsidR="001944B4" w:rsidRPr="00290C7D" w:rsidRDefault="0032285B">
      <w:pPr>
        <w:rPr>
          <w:rFonts w:ascii="Titillium Web" w:hAnsi="Titillium Web"/>
          <w:lang w:val="it-IT"/>
        </w:rPr>
      </w:pPr>
      <w:r w:rsidRPr="00290C7D">
        <w:rPr>
          <w:rFonts w:ascii="Titillium Web" w:hAnsi="Titillium Web"/>
          <w:lang w:val="it-IT"/>
        </w:rPr>
        <w:t>Umesh Desai</w:t>
      </w:r>
    </w:p>
    <w:p w14:paraId="53AB8F5F" w14:textId="2E218AF0" w:rsidR="0032285B" w:rsidRPr="00290C7D" w:rsidRDefault="0032285B">
      <w:pPr>
        <w:rPr>
          <w:rFonts w:ascii="Titillium Web" w:hAnsi="Titillium Web"/>
          <w:lang w:val="it-IT"/>
        </w:rPr>
      </w:pPr>
      <w:r w:rsidRPr="00290C7D">
        <w:rPr>
          <w:rFonts w:ascii="Titillium Web" w:hAnsi="Titillium Web"/>
          <w:lang w:val="it-IT"/>
        </w:rPr>
        <w:t>Anita Edson</w:t>
      </w:r>
    </w:p>
    <w:p w14:paraId="0DFC1B29" w14:textId="691C10BD" w:rsidR="004C3880" w:rsidRPr="001639CF" w:rsidRDefault="004C3880">
      <w:pPr>
        <w:rPr>
          <w:rFonts w:ascii="Titillium Web" w:hAnsi="Titillium Web"/>
          <w:lang w:val="it-IT"/>
        </w:rPr>
      </w:pPr>
      <w:r w:rsidRPr="001639CF">
        <w:rPr>
          <w:rFonts w:ascii="Titillium Web" w:hAnsi="Titillium Web"/>
          <w:lang w:val="it-IT"/>
        </w:rPr>
        <w:t>Simon Francis</w:t>
      </w:r>
    </w:p>
    <w:p w14:paraId="537D8018" w14:textId="3F4D9508" w:rsidR="00F41941" w:rsidRPr="00AC6D64" w:rsidRDefault="00F41941">
      <w:pPr>
        <w:rPr>
          <w:rFonts w:ascii="Titillium Web" w:hAnsi="Titillium Web"/>
        </w:rPr>
      </w:pPr>
      <w:r w:rsidRPr="00AC6D64">
        <w:rPr>
          <w:rFonts w:ascii="Titillium Web" w:hAnsi="Titillium Web"/>
        </w:rPr>
        <w:t>Chris Garlick</w:t>
      </w:r>
    </w:p>
    <w:p w14:paraId="08467CCA" w14:textId="0716B648" w:rsidR="00E24EB4" w:rsidRPr="00AC6D64" w:rsidRDefault="00E24EB4">
      <w:pPr>
        <w:rPr>
          <w:rFonts w:ascii="Titillium Web" w:hAnsi="Titillium Web"/>
        </w:rPr>
      </w:pPr>
      <w:r w:rsidRPr="00AC6D64">
        <w:rPr>
          <w:rFonts w:ascii="Titillium Web" w:hAnsi="Titillium Web"/>
        </w:rPr>
        <w:t>David Hall</w:t>
      </w:r>
    </w:p>
    <w:p w14:paraId="4C1E4825" w14:textId="4656EE82" w:rsidR="00290C7D" w:rsidRPr="00AC6D64" w:rsidRDefault="00290C7D">
      <w:pPr>
        <w:rPr>
          <w:rFonts w:ascii="Titillium Web" w:hAnsi="Titillium Web"/>
        </w:rPr>
      </w:pPr>
      <w:r w:rsidRPr="00AC6D64">
        <w:rPr>
          <w:rFonts w:ascii="Titillium Web" w:hAnsi="Titillium Web"/>
        </w:rPr>
        <w:t xml:space="preserve">Steve Jordan </w:t>
      </w:r>
    </w:p>
    <w:p w14:paraId="487A9DDF" w14:textId="0D533E5E" w:rsidR="004C3880" w:rsidRDefault="004C3880">
      <w:pPr>
        <w:rPr>
          <w:rFonts w:ascii="Titillium Web" w:hAnsi="Titillium Web"/>
        </w:rPr>
      </w:pPr>
      <w:r>
        <w:rPr>
          <w:rFonts w:ascii="Titillium Web" w:hAnsi="Titillium Web"/>
        </w:rPr>
        <w:t>Adrian McGillion</w:t>
      </w:r>
    </w:p>
    <w:p w14:paraId="1B8122AC" w14:textId="130A1D7D" w:rsidR="004C3880" w:rsidRDefault="004C3880">
      <w:pPr>
        <w:rPr>
          <w:rFonts w:ascii="Titillium Web" w:hAnsi="Titillium Web"/>
        </w:rPr>
      </w:pPr>
      <w:r>
        <w:rPr>
          <w:rFonts w:ascii="Titillium Web" w:hAnsi="Titillium Web"/>
        </w:rPr>
        <w:t>Eleanor Magennis</w:t>
      </w:r>
    </w:p>
    <w:p w14:paraId="54E916EA" w14:textId="5D1F43DA" w:rsidR="00F41941" w:rsidRDefault="00F41941">
      <w:pPr>
        <w:rPr>
          <w:rFonts w:ascii="Titillium Web" w:hAnsi="Titillium Web"/>
        </w:rPr>
      </w:pPr>
      <w:r>
        <w:rPr>
          <w:rFonts w:ascii="Titillium Web" w:hAnsi="Titillium Web"/>
        </w:rPr>
        <w:t xml:space="preserve">Paul Morris </w:t>
      </w:r>
    </w:p>
    <w:p w14:paraId="2351B87F" w14:textId="42C96255" w:rsidR="00CF2D4D" w:rsidRDefault="00CF2D4D">
      <w:pPr>
        <w:rPr>
          <w:rFonts w:ascii="Titillium Web" w:hAnsi="Titillium Web"/>
        </w:rPr>
      </w:pPr>
      <w:r>
        <w:rPr>
          <w:rFonts w:ascii="Titillium Web" w:hAnsi="Titillium Web"/>
        </w:rPr>
        <w:t>Helen Wallace</w:t>
      </w:r>
    </w:p>
    <w:p w14:paraId="31D1EDAB" w14:textId="1CB0242A" w:rsidR="00F8689B" w:rsidRDefault="00F8689B">
      <w:pPr>
        <w:rPr>
          <w:rFonts w:ascii="Titillium Web" w:hAnsi="Titillium Web"/>
        </w:rPr>
      </w:pPr>
      <w:r>
        <w:rPr>
          <w:rFonts w:ascii="Titillium Web" w:hAnsi="Titillium Web"/>
        </w:rPr>
        <w:t>Stephen Wells</w:t>
      </w:r>
    </w:p>
    <w:p w14:paraId="0C1A469C" w14:textId="1B5B886A" w:rsidR="004C3880" w:rsidRDefault="004C3880">
      <w:pPr>
        <w:rPr>
          <w:rFonts w:ascii="Titillium Web" w:hAnsi="Titillium Web"/>
        </w:rPr>
      </w:pPr>
      <w:r>
        <w:rPr>
          <w:rFonts w:ascii="Titillium Web" w:hAnsi="Titillium Web"/>
        </w:rPr>
        <w:t>Lars Wiegand</w:t>
      </w:r>
    </w:p>
    <w:p w14:paraId="2C604135" w14:textId="0AB0CC45" w:rsidR="0032285B" w:rsidRDefault="0032285B">
      <w:pPr>
        <w:rPr>
          <w:rFonts w:ascii="Titillium Web" w:hAnsi="Titillium Web"/>
        </w:rPr>
      </w:pPr>
      <w:r>
        <w:rPr>
          <w:rFonts w:ascii="Titillium Web" w:hAnsi="Titillium Web"/>
        </w:rPr>
        <w:t>Jerry Woods</w:t>
      </w:r>
    </w:p>
    <w:p w14:paraId="0C497A61" w14:textId="5F0406B8" w:rsidR="00E24EB4" w:rsidRDefault="00E24EB4">
      <w:pPr>
        <w:rPr>
          <w:rFonts w:ascii="Titillium Web" w:hAnsi="Titillium Web"/>
        </w:rPr>
      </w:pPr>
      <w:r>
        <w:rPr>
          <w:rFonts w:ascii="Titillium Web" w:hAnsi="Titillium Web"/>
        </w:rPr>
        <w:t>Roddy Yarr</w:t>
      </w:r>
    </w:p>
    <w:p w14:paraId="7BDBC603" w14:textId="77777777" w:rsidR="0032285B" w:rsidRPr="00F5600C" w:rsidRDefault="0032285B">
      <w:pPr>
        <w:rPr>
          <w:rFonts w:ascii="Titillium Web" w:hAnsi="Titillium Web"/>
        </w:rPr>
      </w:pPr>
    </w:p>
    <w:sectPr w:rsidR="0032285B" w:rsidRPr="00F56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263F"/>
    <w:multiLevelType w:val="multilevel"/>
    <w:tmpl w:val="FFCC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3B4340"/>
    <w:multiLevelType w:val="multilevel"/>
    <w:tmpl w:val="52DA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E246DC"/>
    <w:multiLevelType w:val="multilevel"/>
    <w:tmpl w:val="481E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7D1F51"/>
    <w:multiLevelType w:val="multilevel"/>
    <w:tmpl w:val="3D22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7647675">
    <w:abstractNumId w:val="2"/>
  </w:num>
  <w:num w:numId="2" w16cid:durableId="1929658852">
    <w:abstractNumId w:val="1"/>
  </w:num>
  <w:num w:numId="3" w16cid:durableId="1277755500">
    <w:abstractNumId w:val="0"/>
  </w:num>
  <w:num w:numId="4" w16cid:durableId="1478111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0C"/>
    <w:rsid w:val="000B67A5"/>
    <w:rsid w:val="001639CF"/>
    <w:rsid w:val="001944B4"/>
    <w:rsid w:val="0022236A"/>
    <w:rsid w:val="00290C7D"/>
    <w:rsid w:val="0032285B"/>
    <w:rsid w:val="00343213"/>
    <w:rsid w:val="0036656F"/>
    <w:rsid w:val="004C3880"/>
    <w:rsid w:val="005F47D3"/>
    <w:rsid w:val="006C717E"/>
    <w:rsid w:val="008977B6"/>
    <w:rsid w:val="00990B4E"/>
    <w:rsid w:val="00AC6D64"/>
    <w:rsid w:val="00B0193D"/>
    <w:rsid w:val="00C9426C"/>
    <w:rsid w:val="00CF2D4D"/>
    <w:rsid w:val="00D338AC"/>
    <w:rsid w:val="00E24EB4"/>
    <w:rsid w:val="00F41941"/>
    <w:rsid w:val="00F5600C"/>
    <w:rsid w:val="00F8689B"/>
    <w:rsid w:val="00FD1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15F8"/>
  <w15:chartTrackingRefBased/>
  <w15:docId w15:val="{2B951809-EF09-46B5-8594-E5C1213D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0C"/>
    <w:rPr>
      <w:rFonts w:eastAsiaTheme="majorEastAsia" w:cstheme="majorBidi"/>
      <w:color w:val="272727" w:themeColor="text1" w:themeTint="D8"/>
    </w:rPr>
  </w:style>
  <w:style w:type="paragraph" w:styleId="Title">
    <w:name w:val="Title"/>
    <w:basedOn w:val="Normal"/>
    <w:next w:val="Normal"/>
    <w:link w:val="TitleChar"/>
    <w:uiPriority w:val="10"/>
    <w:qFormat/>
    <w:rsid w:val="00F56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00C"/>
    <w:pPr>
      <w:spacing w:before="160"/>
      <w:jc w:val="center"/>
    </w:pPr>
    <w:rPr>
      <w:i/>
      <w:iCs/>
      <w:color w:val="404040" w:themeColor="text1" w:themeTint="BF"/>
    </w:rPr>
  </w:style>
  <w:style w:type="character" w:customStyle="1" w:styleId="QuoteChar">
    <w:name w:val="Quote Char"/>
    <w:basedOn w:val="DefaultParagraphFont"/>
    <w:link w:val="Quote"/>
    <w:uiPriority w:val="29"/>
    <w:rsid w:val="00F5600C"/>
    <w:rPr>
      <w:i/>
      <w:iCs/>
      <w:color w:val="404040" w:themeColor="text1" w:themeTint="BF"/>
    </w:rPr>
  </w:style>
  <w:style w:type="paragraph" w:styleId="ListParagraph">
    <w:name w:val="List Paragraph"/>
    <w:basedOn w:val="Normal"/>
    <w:uiPriority w:val="34"/>
    <w:qFormat/>
    <w:rsid w:val="00F5600C"/>
    <w:pPr>
      <w:ind w:left="720"/>
      <w:contextualSpacing/>
    </w:pPr>
  </w:style>
  <w:style w:type="character" w:styleId="IntenseEmphasis">
    <w:name w:val="Intense Emphasis"/>
    <w:basedOn w:val="DefaultParagraphFont"/>
    <w:uiPriority w:val="21"/>
    <w:qFormat/>
    <w:rsid w:val="00F5600C"/>
    <w:rPr>
      <w:i/>
      <w:iCs/>
      <w:color w:val="0F4761" w:themeColor="accent1" w:themeShade="BF"/>
    </w:rPr>
  </w:style>
  <w:style w:type="paragraph" w:styleId="IntenseQuote">
    <w:name w:val="Intense Quote"/>
    <w:basedOn w:val="Normal"/>
    <w:next w:val="Normal"/>
    <w:link w:val="IntenseQuoteChar"/>
    <w:uiPriority w:val="30"/>
    <w:qFormat/>
    <w:rsid w:val="00F56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00C"/>
    <w:rPr>
      <w:i/>
      <w:iCs/>
      <w:color w:val="0F4761" w:themeColor="accent1" w:themeShade="BF"/>
    </w:rPr>
  </w:style>
  <w:style w:type="character" w:styleId="IntenseReference">
    <w:name w:val="Intense Reference"/>
    <w:basedOn w:val="DefaultParagraphFont"/>
    <w:uiPriority w:val="32"/>
    <w:qFormat/>
    <w:rsid w:val="00F560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Higgs</dc:creator>
  <cp:keywords/>
  <dc:description/>
  <cp:lastModifiedBy>Richard Ralph</cp:lastModifiedBy>
  <cp:revision>2</cp:revision>
  <dcterms:created xsi:type="dcterms:W3CDTF">2025-10-01T08:15:00Z</dcterms:created>
  <dcterms:modified xsi:type="dcterms:W3CDTF">2025-10-01T08:15:00Z</dcterms:modified>
</cp:coreProperties>
</file>